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96"/>
          <w:szCs w:val="96"/>
          <w:highlight w:val="none"/>
          <w:lang w:eastAsia="zh-CN"/>
        </w:rPr>
        <w:t>福建省司法厅宽带接入服务项目（</w:t>
      </w:r>
      <w:r>
        <w:rPr>
          <w:rFonts w:hint="eastAsia" w:ascii="宋体" w:hAnsi="宋体" w:cs="宋体"/>
          <w:b/>
          <w:color w:val="auto"/>
          <w:sz w:val="96"/>
          <w:szCs w:val="96"/>
          <w:highlight w:val="none"/>
          <w:lang w:val="en-US" w:eastAsia="zh-CN"/>
        </w:rPr>
        <w:t>二次</w:t>
      </w:r>
      <w:r>
        <w:rPr>
          <w:rFonts w:hint="eastAsia" w:ascii="宋体" w:hAnsi="宋体" w:cs="宋体"/>
          <w:b/>
          <w:color w:val="auto"/>
          <w:sz w:val="96"/>
          <w:szCs w:val="96"/>
          <w:highlight w:val="none"/>
          <w:lang w:eastAsia="zh-CN"/>
        </w:rPr>
        <w:t>）</w:t>
      </w:r>
      <w:r>
        <w:rPr>
          <w:rFonts w:hint="eastAsia" w:ascii="宋体" w:hAnsi="宋体" w:cs="宋体"/>
          <w:b/>
          <w:color w:val="auto"/>
          <w:sz w:val="72"/>
          <w:szCs w:val="72"/>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ind w:firstLine="1928" w:firstLineChars="6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JJZB-WJ-2024008-1</w:t>
      </w:r>
    </w:p>
    <w:p w14:paraId="6385ECEA">
      <w:pPr>
        <w:pStyle w:val="10"/>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福建省司法厅宽带接入服务项目（二次）</w:t>
      </w:r>
    </w:p>
    <w:p w14:paraId="4D39A686">
      <w:pPr>
        <w:pStyle w:val="10"/>
        <w:spacing w:line="640" w:lineRule="exact"/>
        <w:ind w:firstLine="1928" w:firstLineChars="600"/>
        <w:jc w:val="both"/>
        <w:rPr>
          <w:rFonts w:hAnsi="宋体"/>
          <w:b/>
          <w:color w:val="auto"/>
          <w:sz w:val="32"/>
          <w:szCs w:val="32"/>
          <w:highlight w:val="none"/>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eastAsia="zh-CN"/>
        </w:rPr>
        <w:t>福建省司法厅</w:t>
      </w:r>
    </w:p>
    <w:p w14:paraId="139BD949">
      <w:pPr>
        <w:pStyle w:val="4"/>
        <w:jc w:val="both"/>
        <w:rPr>
          <w:rFonts w:hint="default"/>
          <w:color w:val="auto"/>
          <w:sz w:val="48"/>
          <w:highlight w:val="none"/>
        </w:rPr>
      </w:pPr>
    </w:p>
    <w:p w14:paraId="6280ACD9">
      <w:pPr>
        <w:rPr>
          <w:rFonts w:hint="default"/>
        </w:rPr>
      </w:pPr>
    </w:p>
    <w:p w14:paraId="0D6CB01F">
      <w:pPr>
        <w:rPr>
          <w:rFonts w:hint="default"/>
        </w:rPr>
      </w:pPr>
    </w:p>
    <w:p w14:paraId="1D831961">
      <w:pPr>
        <w:pStyle w:val="10"/>
        <w:rPr>
          <w:rFonts w:hint="default"/>
        </w:rPr>
      </w:pPr>
    </w:p>
    <w:p w14:paraId="068EB945">
      <w:pPr>
        <w:pStyle w:val="10"/>
        <w:rPr>
          <w:rFonts w:hint="default"/>
        </w:rPr>
      </w:pPr>
    </w:p>
    <w:p w14:paraId="27374161">
      <w:pPr>
        <w:pStyle w:val="10"/>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十二</w:t>
      </w:r>
      <w:r>
        <w:rPr>
          <w:rFonts w:hint="eastAsia" w:ascii="宋体" w:hAnsi="宋体"/>
          <w:b/>
          <w:color w:val="auto"/>
          <w:sz w:val="32"/>
          <w:szCs w:val="32"/>
          <w:highlight w:val="none"/>
        </w:rPr>
        <w:t>月</w:t>
      </w:r>
    </w:p>
    <w:p w14:paraId="630F192B">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福建省司法厅宽带接入服务项目（二次）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JJZB-WJ-2024008-1</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福建省司法厅宽带接入服务项目（二次）</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bookmarkStart w:id="0" w:name="_Toc21403"/>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bookmarkStart w:id="8" w:name="_GoBack"/>
      <w:bookmarkEnd w:id="8"/>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b/>
          <w:bCs/>
          <w:sz w:val="24"/>
          <w:highlight w:val="none"/>
          <w:lang w:eastAsia="zh-CN"/>
        </w:rPr>
        <w:t>供应商(或其上级公司)须具有基础电信业务经营许可证和增值电信业务经营许可证。(须提供上述有效证书复印件)</w:t>
      </w:r>
      <w:r>
        <w:rPr>
          <w:rFonts w:hint="eastAsia" w:ascii="宋体" w:hAnsi="宋体" w:eastAsia="宋体" w:cs="宋体"/>
          <w:b/>
          <w:bCs/>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val="en-US"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val="en-US"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 xml:space="preserve">：高先生 </w:t>
      </w:r>
      <w:r>
        <w:rPr>
          <w:rFonts w:hint="eastAsia" w:ascii="宋体" w:hAnsi="宋体" w:eastAsia="宋体" w:cs="宋体"/>
          <w:color w:val="auto"/>
          <w:sz w:val="24"/>
          <w:szCs w:val="24"/>
          <w:highlight w:val="none"/>
          <w:lang w:val="en-US" w:eastAsia="zh-CN"/>
        </w:rPr>
        <w:t xml:space="preserve"> 0591-83770240</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岳红丽、赖天凤</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3"/>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19"/>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19"/>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1B68F2B2">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0000FF"/>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val="0"/>
          <w:bCs w:val="0"/>
          <w:color w:val="auto"/>
          <w:sz w:val="24"/>
          <w:highlight w:val="none"/>
        </w:rPr>
        <w:t>若合格供应商数量不足三家的，</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6CB22E0C">
      <w:pPr>
        <w:pStyle w:val="16"/>
        <w:keepNext w:val="0"/>
        <w:keepLines w:val="0"/>
        <w:pageBreakBefore w:val="0"/>
        <w:kinsoku/>
        <w:topLinePunct w:val="0"/>
        <w:bidi w:val="0"/>
        <w:spacing w:before="0" w:beforeAutospacing="0" w:after="0" w:afterAutospacing="0" w:line="400" w:lineRule="exact"/>
        <w:ind w:firstLine="480"/>
        <w:rPr>
          <w:rStyle w:val="28"/>
          <w:rFonts w:hint="eastAsia" w:ascii="宋体" w:hAnsi="宋体" w:eastAsia="宋体" w:cs="Times New Roman"/>
          <w:b/>
          <w:bCs/>
          <w:color w:val="0000FF"/>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Times New Roman" w:hAnsi="Times New Roman" w:cs="Times New Roman"/>
          <w:b w:val="0"/>
          <w:bCs w:val="0"/>
          <w:color w:val="auto"/>
          <w:sz w:val="24"/>
          <w:highlight w:val="none"/>
        </w:rPr>
        <w:t>若合格供应商数量不足三家的，</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C871636">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Style w:val="28"/>
          <w:rFonts w:hint="eastAsia" w:ascii="宋体" w:hAnsi="宋体"/>
          <w:b w:val="0"/>
          <w:bCs w:val="0"/>
          <w:color w:val="auto"/>
          <w:kern w:val="0"/>
          <w:sz w:val="24"/>
          <w:highlight w:val="none"/>
        </w:rPr>
        <w:t>2.</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C68125F">
      <w:pPr>
        <w:keepNext w:val="0"/>
        <w:keepLines w:val="0"/>
        <w:pageBreakBefore w:val="0"/>
        <w:widowControl/>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的报价明显低于其他</w:t>
      </w:r>
      <w:r>
        <w:rPr>
          <w:rFonts w:hint="eastAsia" w:ascii="宋体" w:hAnsi="宋体" w:eastAsia="宋体" w:cs="宋体"/>
          <w:sz w:val="24"/>
          <w:szCs w:val="24"/>
          <w:lang w:val="en-US" w:eastAsia="zh-CN"/>
        </w:rPr>
        <w:t>符合网上竞价文件要求的供应商</w:t>
      </w:r>
      <w:r>
        <w:rPr>
          <w:rFonts w:hint="eastAsia" w:ascii="宋体" w:hAnsi="宋体" w:eastAsia="宋体" w:cs="宋体"/>
          <w:sz w:val="24"/>
          <w:szCs w:val="24"/>
        </w:rPr>
        <w:t>的报价，有可能影响产品质量或不能诚信履约的，</w:t>
      </w:r>
      <w:r>
        <w:rPr>
          <w:rFonts w:hint="eastAsia" w:ascii="宋体" w:hAnsi="宋体" w:eastAsia="宋体" w:cs="宋体"/>
          <w:sz w:val="24"/>
          <w:szCs w:val="24"/>
          <w:lang w:val="en-US" w:eastAsia="zh-CN"/>
        </w:rPr>
        <w:t>将</w:t>
      </w:r>
      <w:r>
        <w:rPr>
          <w:rFonts w:hint="eastAsia" w:ascii="宋体" w:hAnsi="宋体" w:eastAsia="宋体" w:cs="宋体"/>
          <w:sz w:val="24"/>
          <w:szCs w:val="24"/>
        </w:rPr>
        <w:t>要求其在合理的时间内提供书面说明，必要时还要求其一并提交有关证明材料；</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不能证明其报价合理性的，将其作为报价无效处理</w:t>
      </w:r>
      <w:r>
        <w:rPr>
          <w:rFonts w:hint="eastAsia" w:ascii="宋体" w:hAnsi="宋体" w:eastAsia="宋体" w:cs="宋体"/>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79AEF7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73C35127">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w:t>
      </w:r>
    </w:p>
    <w:p w14:paraId="4832CAA4">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4"/>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0"/>
        <w:gridCol w:w="2022"/>
        <w:gridCol w:w="810"/>
        <w:gridCol w:w="2242"/>
        <w:gridCol w:w="1665"/>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福建省司法厅宽带接入服务项目（二次）</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自签订合同之日起2年（即24个月）</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72000.00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FF"/>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劳务、人员工资、管理等，以及所有根据合同或其它原因应由供应商支付的税金和其它应缴的费用，以及可合理推断的责任和义务。还要考虑到合同中可能出现的索赔和变更。</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9C140CC">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1、接入1条不少于300Mbps带宽专线。</w:t>
      </w:r>
    </w:p>
    <w:p w14:paraId="2E631F28">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2、要求提供不少于3个IP地址。</w:t>
      </w:r>
    </w:p>
    <w:p w14:paraId="2A8897E3">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3、要求提供线路的维护和保养，及时排除线路、设备、网络故障。</w:t>
      </w:r>
    </w:p>
    <w:p w14:paraId="6015F6B0">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4、要求服务期内提供全年7*24小时宽带链路维护服务。</w:t>
      </w:r>
    </w:p>
    <w:p w14:paraId="017CE766">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Times New Roman"/>
          <w:b w:val="0"/>
          <w:bCs w:val="0"/>
          <w:color w:val="auto"/>
          <w:kern w:val="0"/>
          <w:sz w:val="24"/>
          <w:szCs w:val="24"/>
          <w:highlight w:val="none"/>
          <w:lang w:val="en-US" w:eastAsia="zh-CN"/>
        </w:rPr>
        <w:t>自签订合同之日起2年（即24个月）</w:t>
      </w:r>
      <w:r>
        <w:rPr>
          <w:rFonts w:hint="eastAsia" w:ascii="宋体" w:hAnsi="宋体" w:cs="宋体"/>
          <w:b w:val="0"/>
          <w:bCs w:val="0"/>
          <w:color w:val="auto"/>
          <w:kern w:val="0"/>
          <w:sz w:val="24"/>
          <w:szCs w:val="24"/>
          <w:highlight w:val="none"/>
          <w:lang w:val="en-US" w:eastAsia="zh-CN"/>
        </w:rPr>
        <w:t>。</w:t>
      </w:r>
    </w:p>
    <w:p w14:paraId="56FD805B">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安装调试完毕并经验收合格交付使用。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eastAsia" w:ascii="宋体" w:hAnsi="宋体" w:eastAsia="宋体" w:cs="宋体"/>
          <w:b w:val="0"/>
          <w:bCs w:val="0"/>
          <w:color w:val="auto"/>
          <w:kern w:val="0"/>
          <w:sz w:val="24"/>
          <w:szCs w:val="24"/>
          <w:highlight w:val="yellow"/>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cs="宋体"/>
          <w:b w:val="0"/>
          <w:bCs w:val="0"/>
          <w:color w:val="auto"/>
          <w:sz w:val="24"/>
          <w:szCs w:val="24"/>
          <w:highlight w:val="none"/>
          <w:lang w:val="en-US" w:eastAsia="zh-CN"/>
        </w:rPr>
        <w:t>按月托收支付。</w:t>
      </w:r>
    </w:p>
    <w:p w14:paraId="189291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264C00DD">
      <w:pPr>
        <w:pStyle w:val="32"/>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sz w:val="24"/>
          <w:szCs w:val="24"/>
          <w:shd w:val="clear" w:fill="FFFFFF"/>
          <w:lang w:val="en-US" w:eastAsia="zh-CN"/>
        </w:rPr>
      </w:pPr>
      <w:r>
        <w:rPr>
          <w:rFonts w:hint="eastAsia" w:ascii="宋体" w:hAnsi="宋体" w:cs="宋体"/>
          <w:b/>
          <w:sz w:val="24"/>
          <w:szCs w:val="24"/>
          <w:shd w:val="clear" w:fill="FFFFFF"/>
          <w:lang w:val="en-US" w:eastAsia="zh-CN"/>
        </w:rPr>
        <w:t>8、安装、调试：</w:t>
      </w:r>
    </w:p>
    <w:p w14:paraId="40DD2EC6">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8.1合同签订后，成交人须将安装要求及网络安全问题解决方案通知采购人。</w:t>
      </w:r>
    </w:p>
    <w:p w14:paraId="41659003">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8.2成交人应在接到采购人通知后在规定的时间内负责派技术人员到现场进行安装、调试，并负责调试至验收合格交付采购人使用。</w:t>
      </w:r>
    </w:p>
    <w:p w14:paraId="11D5A0AA">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8.3成交人负责组织专业技术人员进行安装调试，采购人应提供必需的基本条件和专人配合，保证各项安装工作顺利进行。</w:t>
      </w:r>
    </w:p>
    <w:p w14:paraId="50A007B6">
      <w:pPr>
        <w:pStyle w:val="32"/>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bCs w:val="0"/>
          <w:sz w:val="24"/>
          <w:szCs w:val="24"/>
          <w:shd w:val="clear" w:fill="FFFFFF"/>
          <w:lang w:val="en-US" w:eastAsia="zh-CN"/>
        </w:rPr>
      </w:pPr>
      <w:r>
        <w:rPr>
          <w:rFonts w:hint="eastAsia" w:ascii="宋体" w:hAnsi="宋体" w:eastAsia="宋体" w:cs="宋体"/>
          <w:b/>
          <w:bCs w:val="0"/>
          <w:sz w:val="24"/>
          <w:szCs w:val="24"/>
          <w:shd w:val="clear" w:fill="FFFFFF"/>
          <w:lang w:val="en-US" w:eastAsia="zh-CN" w:bidi="ar-SA"/>
        </w:rPr>
        <w:t>9、</w:t>
      </w:r>
      <w:r>
        <w:rPr>
          <w:rFonts w:hint="eastAsia" w:ascii="宋体" w:hAnsi="宋体" w:cs="宋体"/>
          <w:b/>
          <w:bCs w:val="0"/>
          <w:sz w:val="24"/>
          <w:szCs w:val="24"/>
          <w:shd w:val="clear" w:fill="FFFFFF"/>
          <w:lang w:val="en-US" w:eastAsia="zh-CN"/>
        </w:rPr>
        <w:t>售后服务：</w:t>
      </w:r>
    </w:p>
    <w:p w14:paraId="356ECE3A">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9.1要求成交人具有良好的服务保障能力。</w:t>
      </w:r>
    </w:p>
    <w:p w14:paraId="43D8A6AF">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9.2要求指定专门的项目服务负责人负责服务质量的保障及故障的协调处理。</w:t>
      </w:r>
    </w:p>
    <w:p w14:paraId="4CDCE917">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9.3要求设立7</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sz w:val="24"/>
          <w:szCs w:val="24"/>
          <w:shd w:val="clear" w:fill="FFFFFF"/>
          <w:lang w:val="en-US" w:eastAsia="zh-CN"/>
        </w:rPr>
        <w:t>24小时的不间断通信维护支撑保障和7</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sz w:val="24"/>
          <w:szCs w:val="24"/>
          <w:shd w:val="clear" w:fill="FFFFFF"/>
          <w:lang w:val="en-US" w:eastAsia="zh-CN"/>
        </w:rPr>
        <w:t>24小时网络监控，可及时向采购人通报网络故障，并负责跟踪故障的全程处理。</w:t>
      </w:r>
    </w:p>
    <w:p w14:paraId="4AC3994B">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9.4采购人在使用宽带专线过程中发生通信故障，成交人应及时处理，尽快完成故障修复。由于成交人方面原因（线路、设备等故障）导致通信服务完全中断的，成交人须在2小时内完成修复；由于成交人方面原因（线路、设备等故障）导致通信服务质量不满足要求的，成交人须在48小时内完成修复。</w:t>
      </w:r>
    </w:p>
    <w:p w14:paraId="5709DA83">
      <w:pPr>
        <w:pStyle w:val="32"/>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cs="宋体"/>
          <w:b/>
          <w:sz w:val="24"/>
          <w:szCs w:val="24"/>
          <w:shd w:val="clear" w:fill="FFFFFF"/>
          <w:lang w:val="en-US" w:eastAsia="zh-CN"/>
        </w:rPr>
        <w:t>10</w:t>
      </w:r>
      <w:r>
        <w:rPr>
          <w:rFonts w:hint="eastAsia" w:ascii="宋体" w:hAnsi="宋体" w:eastAsia="宋体" w:cs="宋体"/>
          <w:b/>
          <w:sz w:val="24"/>
          <w:szCs w:val="24"/>
          <w:shd w:val="clear" w:fill="FFFFFF"/>
        </w:rPr>
        <w:t>、违约责任</w:t>
      </w:r>
      <w:r>
        <w:rPr>
          <w:rFonts w:hint="eastAsia" w:ascii="宋体" w:hAnsi="宋体" w:cs="宋体"/>
          <w:b/>
          <w:sz w:val="24"/>
          <w:szCs w:val="24"/>
          <w:shd w:val="clear" w:fill="FFFFFF"/>
          <w:lang w:eastAsia="zh-CN"/>
        </w:rPr>
        <w:t>：</w:t>
      </w:r>
    </w:p>
    <w:p w14:paraId="7AF0C1CC">
      <w:pPr>
        <w:pStyle w:val="32"/>
        <w:keepNext w:val="0"/>
        <w:keepLines w:val="0"/>
        <w:pageBreakBefore w:val="0"/>
        <w:kinsoku/>
        <w:wordWrap/>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.1因</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原因造成采购合同无法按时签订，视为</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违约对采购人</w:t>
      </w:r>
    </w:p>
    <w:p w14:paraId="3A7179BC">
      <w:pPr>
        <w:pStyle w:val="32"/>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造成的损失的，需另行支付相应的赔偿，采购人有权单方面解除合同。</w:t>
      </w:r>
    </w:p>
    <w:p w14:paraId="13E4139A">
      <w:pPr>
        <w:pStyle w:val="32"/>
        <w:keepNext w:val="0"/>
        <w:keepLines w:val="0"/>
        <w:pageBreakBefore w:val="0"/>
        <w:kinsoku/>
        <w:wordWrap/>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.2在签订采购合同之后，</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要求解除合同的，视为</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违约，对采购人造成的</w:t>
      </w:r>
    </w:p>
    <w:p w14:paraId="5CD25D4E">
      <w:pPr>
        <w:pStyle w:val="32"/>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损失的，</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需支付相应的赔偿，采购人有权单方面解除合同。</w:t>
      </w:r>
    </w:p>
    <w:p w14:paraId="4299F68C">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w:t>
      </w:r>
      <w:r>
        <w:rPr>
          <w:rFonts w:hint="eastAsia" w:ascii="宋体" w:hAnsi="宋体" w:cs="宋体"/>
          <w:sz w:val="24"/>
          <w:szCs w:val="24"/>
          <w:shd w:val="clear" w:fill="FFFFFF"/>
          <w:lang w:val="en-US" w:eastAsia="zh-CN"/>
        </w:rPr>
        <w:t>3</w:t>
      </w:r>
      <w:r>
        <w:rPr>
          <w:rFonts w:hint="eastAsia" w:ascii="宋体" w:hAnsi="宋体" w:eastAsia="宋体" w:cs="宋体"/>
          <w:sz w:val="24"/>
          <w:szCs w:val="24"/>
          <w:shd w:val="clear" w:fill="FFFFFF"/>
        </w:rPr>
        <w:t>在明确违约责任后，</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szCs w:val="24"/>
          <w:lang w:eastAsia="zh-CN"/>
        </w:rPr>
      </w:pPr>
      <w:r>
        <w:rPr>
          <w:rFonts w:hint="eastAsia" w:cs="宋体"/>
          <w:b/>
          <w:bCs/>
          <w:szCs w:val="24"/>
          <w:lang w:val="en-US" w:eastAsia="zh-CN"/>
        </w:rPr>
        <w:t>11</w:t>
      </w:r>
      <w:r>
        <w:rPr>
          <w:rFonts w:hint="eastAsia" w:ascii="宋体" w:hAnsi="宋体" w:cs="宋体"/>
          <w:b/>
          <w:bCs/>
          <w:szCs w:val="24"/>
        </w:rPr>
        <w:t>、其他事项</w:t>
      </w:r>
      <w:r>
        <w:rPr>
          <w:rFonts w:hint="eastAsia" w:cs="宋体"/>
          <w:b/>
          <w:bCs/>
          <w:szCs w:val="24"/>
          <w:lang w:eastAsia="zh-CN"/>
        </w:rPr>
        <w:t>：</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5D21173D">
      <w:pPr>
        <w:widowControl/>
        <w:spacing w:line="360" w:lineRule="auto"/>
        <w:jc w:val="center"/>
        <w:rPr>
          <w:rFonts w:hint="eastAsia" w:ascii="宋体" w:hAnsi="宋体"/>
          <w:b/>
          <w:bCs/>
          <w:color w:val="auto"/>
          <w:sz w:val="36"/>
          <w:szCs w:val="36"/>
          <w:highlight w:val="none"/>
        </w:rPr>
      </w:pPr>
    </w:p>
    <w:p w14:paraId="16CC55F5">
      <w:pPr>
        <w:widowControl/>
        <w:spacing w:line="360" w:lineRule="auto"/>
        <w:jc w:val="center"/>
        <w:rPr>
          <w:rFonts w:hint="eastAsia" w:ascii="宋体" w:hAnsi="宋体"/>
          <w:b/>
          <w:bCs/>
          <w:color w:val="auto"/>
          <w:sz w:val="36"/>
          <w:szCs w:val="36"/>
          <w:highlight w:val="none"/>
        </w:rPr>
      </w:pPr>
    </w:p>
    <w:p w14:paraId="5326554D">
      <w:pPr>
        <w:pStyle w:val="19"/>
        <w:rPr>
          <w:rFonts w:hint="eastAsia" w:ascii="宋体" w:hAnsi="宋体"/>
          <w:b/>
          <w:bCs/>
          <w:color w:val="auto"/>
          <w:sz w:val="36"/>
          <w:szCs w:val="36"/>
          <w:highlight w:val="none"/>
        </w:rPr>
      </w:pPr>
    </w:p>
    <w:p w14:paraId="4D47ABDA">
      <w:pPr>
        <w:pStyle w:val="19"/>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8"/>
        <w:spacing w:line="360" w:lineRule="auto"/>
        <w:ind w:firstLine="210"/>
        <w:rPr>
          <w:color w:val="auto"/>
          <w:highlight w:val="none"/>
        </w:rPr>
      </w:pPr>
    </w:p>
    <w:p w14:paraId="6326FD37">
      <w:pPr>
        <w:pStyle w:val="5"/>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68DAE65E">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5CB1E9C">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4"/>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4"/>
        <w:spacing w:line="360" w:lineRule="auto"/>
        <w:rPr>
          <w:rFonts w:ascii="宋体" w:hAnsi="宋体" w:cs="宋体"/>
          <w:color w:val="auto"/>
          <w:sz w:val="24"/>
          <w:highlight w:val="none"/>
        </w:rPr>
      </w:pPr>
    </w:p>
    <w:p w14:paraId="5321318A">
      <w:pPr>
        <w:pStyle w:val="14"/>
        <w:spacing w:line="360" w:lineRule="auto"/>
        <w:rPr>
          <w:rFonts w:ascii="宋体" w:hAnsi="宋体" w:cs="宋体"/>
          <w:color w:val="auto"/>
          <w:sz w:val="24"/>
          <w:highlight w:val="none"/>
        </w:rPr>
      </w:pPr>
    </w:p>
    <w:p w14:paraId="3C82014B">
      <w:pPr>
        <w:pStyle w:val="14"/>
        <w:spacing w:line="360" w:lineRule="auto"/>
        <w:rPr>
          <w:rFonts w:ascii="宋体" w:hAnsi="宋体" w:cs="宋体"/>
          <w:color w:val="auto"/>
          <w:sz w:val="24"/>
          <w:highlight w:val="none"/>
        </w:rPr>
      </w:pPr>
    </w:p>
    <w:p w14:paraId="3726D4AE">
      <w:pPr>
        <w:pStyle w:val="14"/>
        <w:spacing w:line="360" w:lineRule="auto"/>
        <w:rPr>
          <w:rFonts w:ascii="宋体" w:hAnsi="宋体" w:cs="宋体"/>
          <w:color w:val="auto"/>
          <w:sz w:val="24"/>
          <w:highlight w:val="none"/>
        </w:rPr>
      </w:pPr>
    </w:p>
    <w:p w14:paraId="0F16B34A">
      <w:pPr>
        <w:pStyle w:val="14"/>
        <w:spacing w:line="360" w:lineRule="auto"/>
        <w:rPr>
          <w:rFonts w:ascii="宋体" w:hAnsi="宋体" w:cs="宋体"/>
          <w:color w:val="auto"/>
          <w:sz w:val="24"/>
          <w:highlight w:val="none"/>
        </w:rPr>
      </w:pPr>
    </w:p>
    <w:p w14:paraId="73F56BF6">
      <w:pPr>
        <w:pStyle w:val="14"/>
        <w:spacing w:line="360" w:lineRule="auto"/>
        <w:rPr>
          <w:rFonts w:ascii="宋体" w:hAnsi="宋体" w:cs="宋体"/>
          <w:color w:val="auto"/>
          <w:sz w:val="24"/>
          <w:highlight w:val="none"/>
        </w:rPr>
      </w:pPr>
    </w:p>
    <w:p w14:paraId="61FA2276">
      <w:pPr>
        <w:pStyle w:val="14"/>
        <w:spacing w:line="360" w:lineRule="auto"/>
        <w:rPr>
          <w:rFonts w:ascii="宋体" w:hAnsi="宋体" w:cs="宋体"/>
          <w:color w:val="auto"/>
          <w:sz w:val="24"/>
          <w:highlight w:val="none"/>
        </w:rPr>
      </w:pPr>
    </w:p>
    <w:p w14:paraId="468F1230">
      <w:pPr>
        <w:pStyle w:val="14"/>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4"/>
        <w:spacing w:line="360" w:lineRule="auto"/>
        <w:rPr>
          <w:rFonts w:ascii="宋体" w:hAnsi="宋体" w:cs="宋体"/>
          <w:b/>
          <w:bCs/>
          <w:color w:val="auto"/>
          <w:sz w:val="28"/>
          <w:szCs w:val="28"/>
          <w:highlight w:val="none"/>
        </w:rPr>
      </w:pPr>
    </w:p>
    <w:p w14:paraId="0776CC2D">
      <w:pPr>
        <w:pStyle w:val="14"/>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4"/>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4"/>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4"/>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4"/>
        <w:spacing w:line="360" w:lineRule="auto"/>
        <w:rPr>
          <w:rFonts w:ascii="宋体" w:hAnsi="宋体" w:cs="宋体"/>
          <w:b/>
          <w:bCs/>
          <w:color w:val="auto"/>
          <w:sz w:val="28"/>
          <w:szCs w:val="28"/>
          <w:highlight w:val="none"/>
        </w:rPr>
      </w:pPr>
    </w:p>
    <w:p w14:paraId="22A9EDD9">
      <w:pPr>
        <w:pStyle w:val="14"/>
        <w:spacing w:line="360" w:lineRule="auto"/>
        <w:rPr>
          <w:color w:val="auto"/>
          <w:highlight w:val="none"/>
        </w:rPr>
      </w:pPr>
    </w:p>
    <w:p w14:paraId="01C7C78E">
      <w:pPr>
        <w:pStyle w:val="14"/>
        <w:spacing w:line="360" w:lineRule="auto"/>
        <w:rPr>
          <w:color w:val="auto"/>
          <w:highlight w:val="none"/>
        </w:rPr>
      </w:pPr>
    </w:p>
    <w:p w14:paraId="35556AE7">
      <w:pPr>
        <w:pStyle w:val="14"/>
        <w:spacing w:line="360" w:lineRule="auto"/>
        <w:rPr>
          <w:color w:val="auto"/>
          <w:highlight w:val="none"/>
        </w:rPr>
      </w:pPr>
    </w:p>
    <w:p w14:paraId="4E1A6E85">
      <w:pPr>
        <w:pStyle w:val="14"/>
        <w:spacing w:line="360" w:lineRule="auto"/>
        <w:rPr>
          <w:color w:val="auto"/>
          <w:highlight w:val="none"/>
        </w:rPr>
      </w:pPr>
    </w:p>
    <w:p w14:paraId="46AD2750">
      <w:pPr>
        <w:pStyle w:val="14"/>
        <w:spacing w:line="360" w:lineRule="auto"/>
        <w:rPr>
          <w:color w:val="auto"/>
          <w:highlight w:val="none"/>
        </w:rPr>
      </w:pPr>
    </w:p>
    <w:p w14:paraId="1913FC5F">
      <w:pPr>
        <w:pStyle w:val="14"/>
        <w:spacing w:line="360" w:lineRule="auto"/>
        <w:rPr>
          <w:color w:val="auto"/>
          <w:highlight w:val="none"/>
        </w:rPr>
      </w:pPr>
    </w:p>
    <w:p w14:paraId="61F60254">
      <w:pPr>
        <w:pStyle w:val="14"/>
        <w:spacing w:line="360" w:lineRule="auto"/>
        <w:rPr>
          <w:color w:val="auto"/>
          <w:highlight w:val="none"/>
        </w:rPr>
      </w:pPr>
    </w:p>
    <w:p w14:paraId="02CCF8EF">
      <w:pPr>
        <w:pStyle w:val="14"/>
        <w:spacing w:line="360" w:lineRule="auto"/>
        <w:rPr>
          <w:color w:val="auto"/>
          <w:highlight w:val="none"/>
        </w:rPr>
      </w:pPr>
    </w:p>
    <w:p w14:paraId="40D9D294">
      <w:pPr>
        <w:pStyle w:val="14"/>
        <w:spacing w:line="360" w:lineRule="auto"/>
        <w:rPr>
          <w:color w:val="auto"/>
          <w:highlight w:val="none"/>
        </w:rPr>
      </w:pPr>
    </w:p>
    <w:p w14:paraId="26CFA76D">
      <w:pPr>
        <w:pStyle w:val="14"/>
        <w:spacing w:line="360" w:lineRule="auto"/>
        <w:rPr>
          <w:color w:val="auto"/>
          <w:highlight w:val="none"/>
        </w:rPr>
      </w:pPr>
    </w:p>
    <w:p w14:paraId="6236DE25">
      <w:pPr>
        <w:pStyle w:val="14"/>
        <w:spacing w:line="360" w:lineRule="auto"/>
        <w:rPr>
          <w:color w:val="auto"/>
          <w:highlight w:val="none"/>
        </w:rPr>
      </w:pPr>
    </w:p>
    <w:p w14:paraId="3DC90531">
      <w:pPr>
        <w:pStyle w:val="14"/>
        <w:spacing w:line="360" w:lineRule="auto"/>
        <w:rPr>
          <w:color w:val="auto"/>
          <w:highlight w:val="none"/>
        </w:rPr>
      </w:pPr>
    </w:p>
    <w:p w14:paraId="6810E63F">
      <w:pPr>
        <w:pStyle w:val="14"/>
        <w:spacing w:line="360" w:lineRule="auto"/>
        <w:rPr>
          <w:color w:val="auto"/>
          <w:highlight w:val="none"/>
        </w:rPr>
      </w:pPr>
    </w:p>
    <w:p w14:paraId="2D859747">
      <w:pPr>
        <w:pStyle w:val="14"/>
        <w:spacing w:line="360" w:lineRule="auto"/>
        <w:rPr>
          <w:color w:val="auto"/>
          <w:highlight w:val="none"/>
        </w:rPr>
      </w:pPr>
    </w:p>
    <w:p w14:paraId="1A9B0A73">
      <w:pPr>
        <w:pStyle w:val="14"/>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4"/>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962"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255"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0"/>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F36BC9"/>
    <w:rsid w:val="011952D6"/>
    <w:rsid w:val="023C7365"/>
    <w:rsid w:val="02BC2FB5"/>
    <w:rsid w:val="03511AD9"/>
    <w:rsid w:val="03E26D51"/>
    <w:rsid w:val="03ED3BD7"/>
    <w:rsid w:val="04C91366"/>
    <w:rsid w:val="05B64224"/>
    <w:rsid w:val="0696261C"/>
    <w:rsid w:val="07702EBF"/>
    <w:rsid w:val="08293E73"/>
    <w:rsid w:val="09A06EBC"/>
    <w:rsid w:val="0B043CFB"/>
    <w:rsid w:val="0CA2647A"/>
    <w:rsid w:val="0D2D3085"/>
    <w:rsid w:val="0DAA7832"/>
    <w:rsid w:val="0DD979BE"/>
    <w:rsid w:val="0FBD7DE5"/>
    <w:rsid w:val="10362DC0"/>
    <w:rsid w:val="10E42CCD"/>
    <w:rsid w:val="11AD4ADB"/>
    <w:rsid w:val="11BD0AA7"/>
    <w:rsid w:val="126445BB"/>
    <w:rsid w:val="14DD66A2"/>
    <w:rsid w:val="15512530"/>
    <w:rsid w:val="16810234"/>
    <w:rsid w:val="17254BB9"/>
    <w:rsid w:val="175D4ED0"/>
    <w:rsid w:val="19515D36"/>
    <w:rsid w:val="199476C8"/>
    <w:rsid w:val="1AA3690C"/>
    <w:rsid w:val="1AC71843"/>
    <w:rsid w:val="1AD364FF"/>
    <w:rsid w:val="1ADE3486"/>
    <w:rsid w:val="1AF44089"/>
    <w:rsid w:val="1B08700D"/>
    <w:rsid w:val="1B261D69"/>
    <w:rsid w:val="1BF43CB2"/>
    <w:rsid w:val="1C7D1E5D"/>
    <w:rsid w:val="1CA05B4B"/>
    <w:rsid w:val="1E0F3C2B"/>
    <w:rsid w:val="1E2C09AB"/>
    <w:rsid w:val="1E897F61"/>
    <w:rsid w:val="1F1C42EA"/>
    <w:rsid w:val="1F686EFF"/>
    <w:rsid w:val="213B2764"/>
    <w:rsid w:val="25333A88"/>
    <w:rsid w:val="25776FB2"/>
    <w:rsid w:val="26B047DC"/>
    <w:rsid w:val="26BD4622"/>
    <w:rsid w:val="26C54B2C"/>
    <w:rsid w:val="27BC5F2F"/>
    <w:rsid w:val="27C42B43"/>
    <w:rsid w:val="28C13F2B"/>
    <w:rsid w:val="29C66B43"/>
    <w:rsid w:val="2A604980"/>
    <w:rsid w:val="2A727AC6"/>
    <w:rsid w:val="2CAC44A0"/>
    <w:rsid w:val="2CC80594"/>
    <w:rsid w:val="2DC70BCB"/>
    <w:rsid w:val="2DDE2D69"/>
    <w:rsid w:val="2ECC1930"/>
    <w:rsid w:val="312D39F9"/>
    <w:rsid w:val="31B67ACD"/>
    <w:rsid w:val="334D7ECB"/>
    <w:rsid w:val="3503072C"/>
    <w:rsid w:val="356F257B"/>
    <w:rsid w:val="35786F8C"/>
    <w:rsid w:val="35E30AE8"/>
    <w:rsid w:val="36F5483C"/>
    <w:rsid w:val="389425B0"/>
    <w:rsid w:val="39B540AD"/>
    <w:rsid w:val="3A9D764F"/>
    <w:rsid w:val="3C65673D"/>
    <w:rsid w:val="3D50551B"/>
    <w:rsid w:val="3D6C7658"/>
    <w:rsid w:val="3DC2628F"/>
    <w:rsid w:val="3DD60AE2"/>
    <w:rsid w:val="3E5C0069"/>
    <w:rsid w:val="3E7A2DAA"/>
    <w:rsid w:val="3E8B1175"/>
    <w:rsid w:val="3FB97B2C"/>
    <w:rsid w:val="40181D19"/>
    <w:rsid w:val="40BD676E"/>
    <w:rsid w:val="40FE2C84"/>
    <w:rsid w:val="417E75E8"/>
    <w:rsid w:val="41910115"/>
    <w:rsid w:val="41D908F9"/>
    <w:rsid w:val="438B3EDE"/>
    <w:rsid w:val="44F31851"/>
    <w:rsid w:val="45AA573E"/>
    <w:rsid w:val="45B275F5"/>
    <w:rsid w:val="46BC33FE"/>
    <w:rsid w:val="46EE7477"/>
    <w:rsid w:val="47BC0C07"/>
    <w:rsid w:val="489259CA"/>
    <w:rsid w:val="498B3956"/>
    <w:rsid w:val="4AE051C0"/>
    <w:rsid w:val="4BC53306"/>
    <w:rsid w:val="4C15710C"/>
    <w:rsid w:val="4C2E5FB6"/>
    <w:rsid w:val="4C9444D5"/>
    <w:rsid w:val="4C9B1D07"/>
    <w:rsid w:val="4CE2174D"/>
    <w:rsid w:val="4E141911"/>
    <w:rsid w:val="4E370E84"/>
    <w:rsid w:val="4F7C19ED"/>
    <w:rsid w:val="4FB142EA"/>
    <w:rsid w:val="513814F5"/>
    <w:rsid w:val="51497716"/>
    <w:rsid w:val="520457CB"/>
    <w:rsid w:val="522C2C59"/>
    <w:rsid w:val="539774E2"/>
    <w:rsid w:val="541A03F5"/>
    <w:rsid w:val="54C5216A"/>
    <w:rsid w:val="54D577A2"/>
    <w:rsid w:val="55357439"/>
    <w:rsid w:val="56770131"/>
    <w:rsid w:val="589A572D"/>
    <w:rsid w:val="58C92DB8"/>
    <w:rsid w:val="5A2C4216"/>
    <w:rsid w:val="5A33211C"/>
    <w:rsid w:val="5A3433AD"/>
    <w:rsid w:val="5A35315D"/>
    <w:rsid w:val="5B761B8D"/>
    <w:rsid w:val="5D01514B"/>
    <w:rsid w:val="5DBA0782"/>
    <w:rsid w:val="5F2D396D"/>
    <w:rsid w:val="60D04179"/>
    <w:rsid w:val="62641034"/>
    <w:rsid w:val="62862DC9"/>
    <w:rsid w:val="6374691F"/>
    <w:rsid w:val="643B2EFE"/>
    <w:rsid w:val="65005919"/>
    <w:rsid w:val="658904F7"/>
    <w:rsid w:val="665A019F"/>
    <w:rsid w:val="6672068F"/>
    <w:rsid w:val="670C6B88"/>
    <w:rsid w:val="68AC5DD9"/>
    <w:rsid w:val="68C926A3"/>
    <w:rsid w:val="692857E0"/>
    <w:rsid w:val="69E70454"/>
    <w:rsid w:val="6A6C5C24"/>
    <w:rsid w:val="6A832AFB"/>
    <w:rsid w:val="6B5E6742"/>
    <w:rsid w:val="6CD40DBF"/>
    <w:rsid w:val="6D0D24E0"/>
    <w:rsid w:val="6DA050EC"/>
    <w:rsid w:val="6E0440FB"/>
    <w:rsid w:val="6FCC5BB0"/>
    <w:rsid w:val="72845AC6"/>
    <w:rsid w:val="72F8490A"/>
    <w:rsid w:val="73ED08CD"/>
    <w:rsid w:val="74120755"/>
    <w:rsid w:val="745C662B"/>
    <w:rsid w:val="74B308B5"/>
    <w:rsid w:val="75247769"/>
    <w:rsid w:val="753F0E71"/>
    <w:rsid w:val="75410DEE"/>
    <w:rsid w:val="75716A92"/>
    <w:rsid w:val="758D2516"/>
    <w:rsid w:val="7599235F"/>
    <w:rsid w:val="7858402F"/>
    <w:rsid w:val="78D50787"/>
    <w:rsid w:val="79FE2EB5"/>
    <w:rsid w:val="7B8F04A8"/>
    <w:rsid w:val="7C95557C"/>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8"/>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2"/>
    <w:link w:val="6"/>
    <w:autoRedefine/>
    <w:qFormat/>
    <w:uiPriority w:val="0"/>
    <w:rPr>
      <w:rFonts w:ascii="Calibri" w:hAnsi="Calibri"/>
      <w:kern w:val="2"/>
      <w:sz w:val="18"/>
      <w:szCs w:val="18"/>
    </w:rPr>
  </w:style>
  <w:style w:type="character" w:customStyle="1" w:styleId="34">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8663</Words>
  <Characters>9067</Characters>
  <Lines>186</Lines>
  <Paragraphs>52</Paragraphs>
  <TotalTime>2</TotalTime>
  <ScaleCrop>false</ScaleCrop>
  <LinksUpToDate>false</LinksUpToDate>
  <CharactersWithSpaces>9728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2024-12-06T08:10:33Z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117FBD630D48493D8237F03B71A220C2_13</vt:lpwstr>
  </property>
</Properties>
</file>